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B9" w:rsidRPr="008243DF" w:rsidRDefault="008243DF">
      <w:pPr>
        <w:rPr>
          <w:sz w:val="28"/>
          <w:szCs w:val="28"/>
        </w:rPr>
      </w:pPr>
      <w:r w:rsidRPr="008243DF">
        <w:rPr>
          <w:sz w:val="28"/>
          <w:szCs w:val="28"/>
        </w:rPr>
        <w:t>Töötajate rahulolu-uuring 2018</w:t>
      </w:r>
    </w:p>
    <w:p w:rsidR="008243DF" w:rsidRPr="008243DF" w:rsidRDefault="008243DF">
      <w:pPr>
        <w:rPr>
          <w:sz w:val="28"/>
          <w:szCs w:val="28"/>
        </w:rPr>
      </w:pPr>
      <w:r w:rsidRPr="008243DF">
        <w:rPr>
          <w:sz w:val="28"/>
          <w:szCs w:val="28"/>
        </w:rPr>
        <w:t>Kokkuvõte</w:t>
      </w:r>
    </w:p>
    <w:p w:rsidR="008243DF" w:rsidRPr="008243DF" w:rsidRDefault="008243DF">
      <w:pPr>
        <w:rPr>
          <w:sz w:val="24"/>
          <w:szCs w:val="24"/>
        </w:rPr>
      </w:pPr>
    </w:p>
    <w:p w:rsidR="008243DF" w:rsidRDefault="008243DF">
      <w:pPr>
        <w:rPr>
          <w:sz w:val="24"/>
          <w:szCs w:val="24"/>
        </w:rPr>
      </w:pPr>
      <w:r>
        <w:rPr>
          <w:sz w:val="24"/>
          <w:szCs w:val="24"/>
        </w:rPr>
        <w:t>Küsimustikule oli vastajaid kokku 57 (2017- 63).</w:t>
      </w:r>
    </w:p>
    <w:p w:rsidR="00283078" w:rsidRDefault="008243DF">
      <w:pPr>
        <w:rPr>
          <w:sz w:val="24"/>
          <w:szCs w:val="24"/>
        </w:rPr>
      </w:pPr>
      <w:r>
        <w:rPr>
          <w:sz w:val="24"/>
          <w:szCs w:val="24"/>
        </w:rPr>
        <w:t xml:space="preserve">Varasematel aastatel ei ole olnud ühtegi </w:t>
      </w:r>
      <w:r w:rsidR="005B4BCA">
        <w:rPr>
          <w:sz w:val="24"/>
          <w:szCs w:val="24"/>
        </w:rPr>
        <w:t xml:space="preserve">vastajate gruppi </w:t>
      </w:r>
      <w:r>
        <w:rPr>
          <w:sz w:val="24"/>
          <w:szCs w:val="24"/>
        </w:rPr>
        <w:t>kus vastanute arv oleks jäänud alla 3</w:t>
      </w:r>
      <w:r w:rsidR="005B4BCA">
        <w:rPr>
          <w:sz w:val="24"/>
          <w:szCs w:val="24"/>
        </w:rPr>
        <w:t xml:space="preserve"> (seekord oli neid kolm)</w:t>
      </w:r>
      <w:r>
        <w:rPr>
          <w:sz w:val="24"/>
          <w:szCs w:val="24"/>
        </w:rPr>
        <w:t xml:space="preserve">. </w:t>
      </w:r>
      <w:r w:rsidR="005B4BCA">
        <w:rPr>
          <w:sz w:val="24"/>
          <w:szCs w:val="24"/>
        </w:rPr>
        <w:t xml:space="preserve"> Hinnangute üldistamiseks </w:t>
      </w:r>
      <w:r w:rsidR="00283078">
        <w:rPr>
          <w:sz w:val="24"/>
          <w:szCs w:val="24"/>
        </w:rPr>
        <w:t xml:space="preserve">õppekavarühmiti </w:t>
      </w:r>
      <w:r w:rsidR="005B4BCA">
        <w:rPr>
          <w:sz w:val="24"/>
          <w:szCs w:val="24"/>
        </w:rPr>
        <w:t xml:space="preserve">on oluline vähemalt kolme vastaja olemasolu. </w:t>
      </w:r>
    </w:p>
    <w:p w:rsidR="005B4BCA" w:rsidRDefault="00283078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5B4BCA">
        <w:rPr>
          <w:sz w:val="24"/>
          <w:szCs w:val="24"/>
        </w:rPr>
        <w:t>astajaid</w:t>
      </w:r>
      <w:r>
        <w:rPr>
          <w:sz w:val="24"/>
          <w:szCs w:val="24"/>
        </w:rPr>
        <w:t xml:space="preserve"> oli</w:t>
      </w:r>
      <w:r w:rsidR="005B4BCA">
        <w:rPr>
          <w:sz w:val="24"/>
          <w:szCs w:val="24"/>
        </w:rPr>
        <w:t xml:space="preserve"> järgmiselt: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835"/>
        <w:gridCol w:w="540"/>
      </w:tblGrid>
      <w:tr w:rsidR="005B4BCA" w:rsidRPr="005B4BCA" w:rsidTr="004B4D57">
        <w:trPr>
          <w:trHeight w:val="305"/>
        </w:trPr>
        <w:tc>
          <w:tcPr>
            <w:tcW w:w="6835" w:type="dxa"/>
            <w:hideMark/>
          </w:tcPr>
          <w:p w:rsidR="005B4BCA" w:rsidRPr="005B4BCA" w:rsidRDefault="005B4BCA">
            <w:pPr>
              <w:rPr>
                <w:sz w:val="24"/>
                <w:szCs w:val="24"/>
              </w:rPr>
            </w:pPr>
            <w:r w:rsidRPr="005B4BCA">
              <w:rPr>
                <w:sz w:val="24"/>
                <w:szCs w:val="24"/>
              </w:rPr>
              <w:t>Kantselei, Arendustalitus, Täiend- ja ümberõppe talitus</w:t>
            </w:r>
          </w:p>
        </w:tc>
        <w:tc>
          <w:tcPr>
            <w:tcW w:w="540" w:type="dxa"/>
            <w:noWrap/>
            <w:hideMark/>
          </w:tcPr>
          <w:p w:rsidR="005B4BCA" w:rsidRPr="005B4BCA" w:rsidRDefault="005B4BCA" w:rsidP="004B4D57">
            <w:pPr>
              <w:jc w:val="right"/>
              <w:rPr>
                <w:sz w:val="24"/>
                <w:szCs w:val="24"/>
              </w:rPr>
            </w:pPr>
            <w:r w:rsidRPr="005B4BCA">
              <w:rPr>
                <w:sz w:val="24"/>
                <w:szCs w:val="24"/>
              </w:rPr>
              <w:t>10</w:t>
            </w:r>
          </w:p>
        </w:tc>
      </w:tr>
      <w:tr w:rsidR="005B4BCA" w:rsidRPr="005B4BCA" w:rsidTr="004B4D57">
        <w:trPr>
          <w:trHeight w:val="315"/>
        </w:trPr>
        <w:tc>
          <w:tcPr>
            <w:tcW w:w="6835" w:type="dxa"/>
            <w:hideMark/>
          </w:tcPr>
          <w:p w:rsidR="005B4BCA" w:rsidRPr="005B4BCA" w:rsidRDefault="005B4BCA">
            <w:pPr>
              <w:rPr>
                <w:sz w:val="24"/>
                <w:szCs w:val="24"/>
              </w:rPr>
            </w:pPr>
            <w:r w:rsidRPr="005B4BCA">
              <w:rPr>
                <w:sz w:val="24"/>
                <w:szCs w:val="24"/>
              </w:rPr>
              <w:t>Haldustalitus</w:t>
            </w:r>
          </w:p>
        </w:tc>
        <w:tc>
          <w:tcPr>
            <w:tcW w:w="540" w:type="dxa"/>
            <w:noWrap/>
            <w:hideMark/>
          </w:tcPr>
          <w:p w:rsidR="005B4BCA" w:rsidRPr="005B4BCA" w:rsidRDefault="005B4BCA" w:rsidP="004B4D57">
            <w:pPr>
              <w:jc w:val="right"/>
              <w:rPr>
                <w:sz w:val="24"/>
                <w:szCs w:val="24"/>
              </w:rPr>
            </w:pPr>
            <w:r w:rsidRPr="005B4BCA">
              <w:rPr>
                <w:sz w:val="24"/>
                <w:szCs w:val="24"/>
              </w:rPr>
              <w:t>8</w:t>
            </w:r>
          </w:p>
        </w:tc>
      </w:tr>
      <w:tr w:rsidR="005B4BCA" w:rsidRPr="005B4BCA" w:rsidTr="004B4D57">
        <w:trPr>
          <w:trHeight w:val="315"/>
        </w:trPr>
        <w:tc>
          <w:tcPr>
            <w:tcW w:w="6835" w:type="dxa"/>
            <w:noWrap/>
            <w:hideMark/>
          </w:tcPr>
          <w:p w:rsidR="005B4BCA" w:rsidRPr="005B4BCA" w:rsidRDefault="005B4BCA">
            <w:pPr>
              <w:rPr>
                <w:sz w:val="24"/>
                <w:szCs w:val="24"/>
              </w:rPr>
            </w:pPr>
            <w:r w:rsidRPr="005B4BCA">
              <w:rPr>
                <w:sz w:val="24"/>
                <w:szCs w:val="24"/>
              </w:rPr>
              <w:t>Andmebaaside ja võrgu disain ning haldus</w:t>
            </w:r>
          </w:p>
        </w:tc>
        <w:tc>
          <w:tcPr>
            <w:tcW w:w="540" w:type="dxa"/>
            <w:noWrap/>
            <w:hideMark/>
          </w:tcPr>
          <w:p w:rsidR="005B4BCA" w:rsidRPr="005B4BCA" w:rsidRDefault="005B4BCA" w:rsidP="004B4D57">
            <w:pPr>
              <w:jc w:val="right"/>
              <w:rPr>
                <w:sz w:val="24"/>
                <w:szCs w:val="24"/>
              </w:rPr>
            </w:pPr>
            <w:r w:rsidRPr="005B4BCA">
              <w:rPr>
                <w:sz w:val="24"/>
                <w:szCs w:val="24"/>
              </w:rPr>
              <w:t>1</w:t>
            </w:r>
          </w:p>
        </w:tc>
      </w:tr>
      <w:tr w:rsidR="005B4BCA" w:rsidRPr="005B4BCA" w:rsidTr="004B4D57">
        <w:trPr>
          <w:trHeight w:val="315"/>
        </w:trPr>
        <w:tc>
          <w:tcPr>
            <w:tcW w:w="6835" w:type="dxa"/>
            <w:noWrap/>
            <w:hideMark/>
          </w:tcPr>
          <w:p w:rsidR="005B4BCA" w:rsidRPr="005B4BCA" w:rsidRDefault="005B4BCA">
            <w:pPr>
              <w:rPr>
                <w:sz w:val="24"/>
                <w:szCs w:val="24"/>
              </w:rPr>
            </w:pPr>
            <w:r w:rsidRPr="005B4BCA">
              <w:rPr>
                <w:sz w:val="24"/>
                <w:szCs w:val="24"/>
              </w:rPr>
              <w:t>Sotsiaaltöö, toitlustus, koduteenindus</w:t>
            </w:r>
          </w:p>
        </w:tc>
        <w:tc>
          <w:tcPr>
            <w:tcW w:w="540" w:type="dxa"/>
            <w:noWrap/>
            <w:hideMark/>
          </w:tcPr>
          <w:p w:rsidR="005B4BCA" w:rsidRPr="005B4BCA" w:rsidRDefault="005B4BCA" w:rsidP="004B4D57">
            <w:pPr>
              <w:jc w:val="right"/>
              <w:rPr>
                <w:sz w:val="24"/>
                <w:szCs w:val="24"/>
              </w:rPr>
            </w:pPr>
            <w:r w:rsidRPr="005B4BCA">
              <w:rPr>
                <w:sz w:val="24"/>
                <w:szCs w:val="24"/>
              </w:rPr>
              <w:t>6</w:t>
            </w:r>
          </w:p>
        </w:tc>
      </w:tr>
      <w:tr w:rsidR="005B4BCA" w:rsidRPr="005B4BCA" w:rsidTr="004B4D57">
        <w:trPr>
          <w:trHeight w:val="315"/>
        </w:trPr>
        <w:tc>
          <w:tcPr>
            <w:tcW w:w="6835" w:type="dxa"/>
            <w:noWrap/>
            <w:hideMark/>
          </w:tcPr>
          <w:p w:rsidR="005B4BCA" w:rsidRPr="005B4BCA" w:rsidRDefault="005B4BCA">
            <w:pPr>
              <w:rPr>
                <w:sz w:val="24"/>
                <w:szCs w:val="24"/>
              </w:rPr>
            </w:pPr>
            <w:r w:rsidRPr="005B4BCA">
              <w:rPr>
                <w:sz w:val="24"/>
                <w:szCs w:val="24"/>
              </w:rPr>
              <w:t>Logistika, Kaubandus</w:t>
            </w:r>
          </w:p>
        </w:tc>
        <w:tc>
          <w:tcPr>
            <w:tcW w:w="540" w:type="dxa"/>
            <w:noWrap/>
            <w:hideMark/>
          </w:tcPr>
          <w:p w:rsidR="005B4BCA" w:rsidRPr="005B4BCA" w:rsidRDefault="005B4BCA" w:rsidP="004B4D57">
            <w:pPr>
              <w:jc w:val="right"/>
              <w:rPr>
                <w:sz w:val="24"/>
                <w:szCs w:val="24"/>
              </w:rPr>
            </w:pPr>
            <w:r w:rsidRPr="005B4BCA">
              <w:rPr>
                <w:sz w:val="24"/>
                <w:szCs w:val="24"/>
              </w:rPr>
              <w:t>2</w:t>
            </w:r>
          </w:p>
        </w:tc>
      </w:tr>
      <w:tr w:rsidR="005B4BCA" w:rsidRPr="005B4BCA" w:rsidTr="004B4D57">
        <w:trPr>
          <w:trHeight w:val="350"/>
        </w:trPr>
        <w:tc>
          <w:tcPr>
            <w:tcW w:w="6835" w:type="dxa"/>
            <w:hideMark/>
          </w:tcPr>
          <w:p w:rsidR="005B4BCA" w:rsidRPr="005B4BCA" w:rsidRDefault="005B4BCA">
            <w:pPr>
              <w:rPr>
                <w:sz w:val="24"/>
                <w:szCs w:val="24"/>
              </w:rPr>
            </w:pPr>
            <w:r w:rsidRPr="005B4BCA">
              <w:rPr>
                <w:sz w:val="24"/>
                <w:szCs w:val="24"/>
              </w:rPr>
              <w:t>Ehitus, Transpordivahendite juhtimine, Energeetika ja automaatika</w:t>
            </w:r>
          </w:p>
        </w:tc>
        <w:tc>
          <w:tcPr>
            <w:tcW w:w="540" w:type="dxa"/>
            <w:noWrap/>
            <w:hideMark/>
          </w:tcPr>
          <w:p w:rsidR="005B4BCA" w:rsidRPr="005B4BCA" w:rsidRDefault="005B4BCA" w:rsidP="004B4D57">
            <w:pPr>
              <w:jc w:val="right"/>
              <w:rPr>
                <w:sz w:val="24"/>
                <w:szCs w:val="24"/>
              </w:rPr>
            </w:pPr>
            <w:r w:rsidRPr="005B4BCA">
              <w:rPr>
                <w:sz w:val="24"/>
                <w:szCs w:val="24"/>
              </w:rPr>
              <w:t>5</w:t>
            </w:r>
          </w:p>
        </w:tc>
      </w:tr>
      <w:tr w:rsidR="005B4BCA" w:rsidRPr="005B4BCA" w:rsidTr="004B4D57">
        <w:trPr>
          <w:trHeight w:val="315"/>
        </w:trPr>
        <w:tc>
          <w:tcPr>
            <w:tcW w:w="6835" w:type="dxa"/>
            <w:hideMark/>
          </w:tcPr>
          <w:p w:rsidR="005B4BCA" w:rsidRPr="005B4BCA" w:rsidRDefault="005B4BCA">
            <w:pPr>
              <w:rPr>
                <w:sz w:val="24"/>
                <w:szCs w:val="24"/>
              </w:rPr>
            </w:pPr>
            <w:r w:rsidRPr="005B4BCA">
              <w:rPr>
                <w:sz w:val="24"/>
                <w:szCs w:val="24"/>
              </w:rPr>
              <w:t>Transporditehnika</w:t>
            </w:r>
          </w:p>
        </w:tc>
        <w:tc>
          <w:tcPr>
            <w:tcW w:w="540" w:type="dxa"/>
            <w:noWrap/>
            <w:hideMark/>
          </w:tcPr>
          <w:p w:rsidR="005B4BCA" w:rsidRPr="005B4BCA" w:rsidRDefault="005B4BCA" w:rsidP="004B4D57">
            <w:pPr>
              <w:jc w:val="right"/>
              <w:rPr>
                <w:sz w:val="24"/>
                <w:szCs w:val="24"/>
              </w:rPr>
            </w:pPr>
            <w:r w:rsidRPr="005B4BCA">
              <w:rPr>
                <w:sz w:val="24"/>
                <w:szCs w:val="24"/>
              </w:rPr>
              <w:t>1</w:t>
            </w:r>
          </w:p>
        </w:tc>
      </w:tr>
      <w:tr w:rsidR="005B4BCA" w:rsidRPr="005B4BCA" w:rsidTr="004B4D57">
        <w:trPr>
          <w:trHeight w:val="315"/>
        </w:trPr>
        <w:tc>
          <w:tcPr>
            <w:tcW w:w="6835" w:type="dxa"/>
            <w:noWrap/>
            <w:hideMark/>
          </w:tcPr>
          <w:p w:rsidR="005B4BCA" w:rsidRPr="005B4BCA" w:rsidRDefault="005B4BCA">
            <w:pPr>
              <w:rPr>
                <w:sz w:val="24"/>
                <w:szCs w:val="24"/>
              </w:rPr>
            </w:pPr>
            <w:r w:rsidRPr="005B4BCA">
              <w:rPr>
                <w:sz w:val="24"/>
                <w:szCs w:val="24"/>
              </w:rPr>
              <w:t>Põllumajandus, Veterinaaria, Kalandus</w:t>
            </w:r>
          </w:p>
        </w:tc>
        <w:tc>
          <w:tcPr>
            <w:tcW w:w="540" w:type="dxa"/>
            <w:noWrap/>
            <w:hideMark/>
          </w:tcPr>
          <w:p w:rsidR="005B4BCA" w:rsidRPr="005B4BCA" w:rsidRDefault="005B4BCA" w:rsidP="004B4D57">
            <w:pPr>
              <w:jc w:val="right"/>
              <w:rPr>
                <w:sz w:val="24"/>
                <w:szCs w:val="24"/>
              </w:rPr>
            </w:pPr>
            <w:r w:rsidRPr="005B4BCA">
              <w:rPr>
                <w:sz w:val="24"/>
                <w:szCs w:val="24"/>
              </w:rPr>
              <w:t>6</w:t>
            </w:r>
          </w:p>
        </w:tc>
      </w:tr>
      <w:tr w:rsidR="005B4BCA" w:rsidRPr="005B4BCA" w:rsidTr="004B4D57">
        <w:trPr>
          <w:trHeight w:val="315"/>
        </w:trPr>
        <w:tc>
          <w:tcPr>
            <w:tcW w:w="6835" w:type="dxa"/>
            <w:noWrap/>
            <w:hideMark/>
          </w:tcPr>
          <w:p w:rsidR="005B4BCA" w:rsidRPr="005B4BCA" w:rsidRDefault="005B4BCA">
            <w:pPr>
              <w:rPr>
                <w:sz w:val="24"/>
                <w:szCs w:val="24"/>
              </w:rPr>
            </w:pPr>
            <w:r w:rsidRPr="005B4BCA">
              <w:rPr>
                <w:sz w:val="24"/>
                <w:szCs w:val="24"/>
              </w:rPr>
              <w:t>Tugitalitus</w:t>
            </w:r>
          </w:p>
        </w:tc>
        <w:tc>
          <w:tcPr>
            <w:tcW w:w="540" w:type="dxa"/>
            <w:noWrap/>
            <w:hideMark/>
          </w:tcPr>
          <w:p w:rsidR="005B4BCA" w:rsidRPr="005B4BCA" w:rsidRDefault="005B4BCA" w:rsidP="004B4D57">
            <w:pPr>
              <w:jc w:val="right"/>
              <w:rPr>
                <w:sz w:val="24"/>
                <w:szCs w:val="24"/>
              </w:rPr>
            </w:pPr>
            <w:r w:rsidRPr="005B4BCA">
              <w:rPr>
                <w:sz w:val="24"/>
                <w:szCs w:val="24"/>
              </w:rPr>
              <w:t>11</w:t>
            </w:r>
          </w:p>
        </w:tc>
      </w:tr>
      <w:tr w:rsidR="005B4BCA" w:rsidRPr="005B4BCA" w:rsidTr="004B4D57">
        <w:trPr>
          <w:trHeight w:val="315"/>
        </w:trPr>
        <w:tc>
          <w:tcPr>
            <w:tcW w:w="6835" w:type="dxa"/>
            <w:noWrap/>
            <w:hideMark/>
          </w:tcPr>
          <w:p w:rsidR="005B4BCA" w:rsidRPr="005B4BCA" w:rsidRDefault="005B4BCA">
            <w:pPr>
              <w:rPr>
                <w:sz w:val="24"/>
                <w:szCs w:val="24"/>
              </w:rPr>
            </w:pPr>
            <w:r w:rsidRPr="005B4BCA">
              <w:rPr>
                <w:sz w:val="24"/>
                <w:szCs w:val="24"/>
              </w:rPr>
              <w:t>Üldharidusained</w:t>
            </w:r>
          </w:p>
        </w:tc>
        <w:tc>
          <w:tcPr>
            <w:tcW w:w="540" w:type="dxa"/>
            <w:noWrap/>
            <w:hideMark/>
          </w:tcPr>
          <w:p w:rsidR="005B4BCA" w:rsidRPr="005B4BCA" w:rsidRDefault="005B4BCA" w:rsidP="004B4D57">
            <w:pPr>
              <w:jc w:val="right"/>
              <w:rPr>
                <w:sz w:val="24"/>
                <w:szCs w:val="24"/>
              </w:rPr>
            </w:pPr>
            <w:r w:rsidRPr="005B4BCA">
              <w:rPr>
                <w:sz w:val="24"/>
                <w:szCs w:val="24"/>
              </w:rPr>
              <w:t>7</w:t>
            </w:r>
          </w:p>
        </w:tc>
      </w:tr>
    </w:tbl>
    <w:p w:rsidR="005B4BCA" w:rsidRDefault="005B4BCA">
      <w:pPr>
        <w:rPr>
          <w:sz w:val="24"/>
          <w:szCs w:val="24"/>
        </w:rPr>
      </w:pPr>
    </w:p>
    <w:p w:rsidR="002911EC" w:rsidRDefault="003711CE">
      <w:pPr>
        <w:rPr>
          <w:sz w:val="24"/>
          <w:szCs w:val="24"/>
        </w:rPr>
      </w:pPr>
      <w:r>
        <w:rPr>
          <w:sz w:val="24"/>
          <w:szCs w:val="24"/>
        </w:rPr>
        <w:t>Koolis tervikuna on töötajate rahulolu näitajad võrreldes eelmise aastaga kasvanud ja seda kõikides küsitluse teemagruppides.</w:t>
      </w:r>
      <w:r w:rsidR="00CC6F3E">
        <w:rPr>
          <w:sz w:val="24"/>
          <w:szCs w:val="24"/>
        </w:rPr>
        <w:t xml:space="preserve"> </w:t>
      </w:r>
    </w:p>
    <w:p w:rsidR="00B54496" w:rsidRDefault="00B54496">
      <w:pPr>
        <w:rPr>
          <w:sz w:val="24"/>
          <w:szCs w:val="24"/>
        </w:rPr>
      </w:pPr>
      <w:r w:rsidRPr="00D3612A">
        <w:rPr>
          <w:sz w:val="24"/>
          <w:szCs w:val="24"/>
          <w:u w:val="single"/>
        </w:rPr>
        <w:t>Koolipere</w:t>
      </w:r>
      <w:r>
        <w:rPr>
          <w:sz w:val="24"/>
          <w:szCs w:val="24"/>
        </w:rPr>
        <w:t xml:space="preserve">: 4,23 (2017 </w:t>
      </w:r>
      <w:r w:rsidR="00D3612A">
        <w:rPr>
          <w:sz w:val="24"/>
          <w:szCs w:val="24"/>
        </w:rPr>
        <w:t>-</w:t>
      </w:r>
      <w:r>
        <w:rPr>
          <w:sz w:val="24"/>
          <w:szCs w:val="24"/>
        </w:rPr>
        <w:t xml:space="preserve"> 4,10). </w:t>
      </w:r>
      <w:r w:rsidR="00D3612A">
        <w:rPr>
          <w:sz w:val="24"/>
          <w:szCs w:val="24"/>
        </w:rPr>
        <w:t>Kõikides gruppides on rahulolu paranenud. Kõige madalam oli näitaja Logistika/Kaubandus</w:t>
      </w:r>
      <w:r w:rsidR="00FC5538">
        <w:rPr>
          <w:sz w:val="24"/>
          <w:szCs w:val="24"/>
        </w:rPr>
        <w:t>es</w:t>
      </w:r>
      <w:r w:rsidR="00D3612A">
        <w:rPr>
          <w:sz w:val="24"/>
          <w:szCs w:val="24"/>
        </w:rPr>
        <w:t xml:space="preserve"> 3,88.</w:t>
      </w:r>
    </w:p>
    <w:p w:rsidR="00521172" w:rsidRDefault="00D3612A">
      <w:pPr>
        <w:rPr>
          <w:sz w:val="24"/>
          <w:szCs w:val="24"/>
        </w:rPr>
      </w:pPr>
      <w:r w:rsidRPr="00D3612A">
        <w:rPr>
          <w:sz w:val="24"/>
          <w:szCs w:val="24"/>
          <w:u w:val="single"/>
        </w:rPr>
        <w:t>Info liikumine</w:t>
      </w:r>
      <w:r>
        <w:rPr>
          <w:sz w:val="24"/>
          <w:szCs w:val="24"/>
        </w:rPr>
        <w:t xml:space="preserve">: 3,84 (2017 - 3,79). </w:t>
      </w:r>
      <w:r w:rsidR="00E51852">
        <w:rPr>
          <w:sz w:val="24"/>
          <w:szCs w:val="24"/>
        </w:rPr>
        <w:t xml:space="preserve"> Kooli </w:t>
      </w:r>
      <w:r w:rsidR="00AF7922">
        <w:rPr>
          <w:sz w:val="24"/>
          <w:szCs w:val="24"/>
        </w:rPr>
        <w:t xml:space="preserve">arengukava </w:t>
      </w:r>
      <w:r w:rsidR="00E51852">
        <w:rPr>
          <w:sz w:val="24"/>
          <w:szCs w:val="24"/>
        </w:rPr>
        <w:t>eesmärkides on antud näitajal seatud sihtväärtus</w:t>
      </w:r>
      <w:r w:rsidR="00FC5538">
        <w:rPr>
          <w:sz w:val="24"/>
          <w:szCs w:val="24"/>
        </w:rPr>
        <w:t>,</w:t>
      </w:r>
      <w:r w:rsidR="00E51852">
        <w:rPr>
          <w:sz w:val="24"/>
          <w:szCs w:val="24"/>
        </w:rPr>
        <w:t xml:space="preserve"> milleks on suurem kui 3,95. Seda sihti ei ole veel saavutatud.  Eriti madal on hinnang </w:t>
      </w:r>
      <w:r w:rsidR="00E51852">
        <w:rPr>
          <w:sz w:val="24"/>
          <w:szCs w:val="24"/>
        </w:rPr>
        <w:t>Logistika/Kaubandus</w:t>
      </w:r>
      <w:r w:rsidR="00E51852">
        <w:rPr>
          <w:sz w:val="24"/>
          <w:szCs w:val="24"/>
        </w:rPr>
        <w:t xml:space="preserve"> 2,83. Suhteliselt madalamad on hinnangud ka </w:t>
      </w:r>
      <w:r w:rsidR="00E51852" w:rsidRPr="005B4BCA">
        <w:rPr>
          <w:sz w:val="24"/>
          <w:szCs w:val="24"/>
        </w:rPr>
        <w:t>Sotsiaaltöö, toitlustus, koduteenindus</w:t>
      </w:r>
      <w:r w:rsidR="00E51852">
        <w:rPr>
          <w:sz w:val="24"/>
          <w:szCs w:val="24"/>
        </w:rPr>
        <w:t xml:space="preserve"> (3,61), </w:t>
      </w:r>
      <w:r w:rsidR="00E51852" w:rsidRPr="005B4BCA">
        <w:rPr>
          <w:sz w:val="24"/>
          <w:szCs w:val="24"/>
        </w:rPr>
        <w:t>Tugitalitus</w:t>
      </w:r>
      <w:r w:rsidR="00E51852">
        <w:rPr>
          <w:sz w:val="24"/>
          <w:szCs w:val="24"/>
        </w:rPr>
        <w:t xml:space="preserve"> (3,73) ja </w:t>
      </w:r>
      <w:r w:rsidR="00E51852" w:rsidRPr="005B4BCA">
        <w:rPr>
          <w:sz w:val="24"/>
          <w:szCs w:val="24"/>
        </w:rPr>
        <w:t>Üldharidusained</w:t>
      </w:r>
      <w:r w:rsidR="00E51852">
        <w:rPr>
          <w:sz w:val="24"/>
          <w:szCs w:val="24"/>
        </w:rPr>
        <w:t xml:space="preserve"> (3,81).</w:t>
      </w:r>
      <w:r w:rsidR="00521172">
        <w:rPr>
          <w:sz w:val="24"/>
          <w:szCs w:val="24"/>
        </w:rPr>
        <w:t xml:space="preserve"> Võrreldes eelmise aastaga on rahulolu tublisti paranenud </w:t>
      </w:r>
      <w:r w:rsidR="00521172" w:rsidRPr="005B4BCA">
        <w:rPr>
          <w:sz w:val="24"/>
          <w:szCs w:val="24"/>
        </w:rPr>
        <w:t>Üldharidusained</w:t>
      </w:r>
      <w:r w:rsidR="00521172">
        <w:rPr>
          <w:sz w:val="24"/>
          <w:szCs w:val="24"/>
        </w:rPr>
        <w:t xml:space="preserve"> (3,81, 2017-  3,21).</w:t>
      </w:r>
    </w:p>
    <w:p w:rsidR="00E51852" w:rsidRDefault="00AF7922">
      <w:pPr>
        <w:rPr>
          <w:sz w:val="24"/>
          <w:szCs w:val="24"/>
        </w:rPr>
      </w:pPr>
      <w:r w:rsidRPr="00AF7922">
        <w:rPr>
          <w:sz w:val="24"/>
          <w:szCs w:val="24"/>
          <w:u w:val="single"/>
        </w:rPr>
        <w:t>Töövahendid/töötingimused</w:t>
      </w:r>
      <w:r>
        <w:rPr>
          <w:sz w:val="24"/>
          <w:szCs w:val="24"/>
        </w:rPr>
        <w:t>: 4,32 (4,15). Sihtväärtus (4,00) on ületatud. Antud küsimuste</w:t>
      </w:r>
      <w:r w:rsidR="00956CD8">
        <w:rPr>
          <w:sz w:val="24"/>
          <w:szCs w:val="24"/>
        </w:rPr>
        <w:t xml:space="preserve"> </w:t>
      </w:r>
      <w:r>
        <w:rPr>
          <w:sz w:val="24"/>
          <w:szCs w:val="24"/>
        </w:rPr>
        <w:t>gruppi jääb ka arengukava tulemusnäitaja „Rahulolu tööaja korraldusega“, mille sihtväärtuseks on 4,00. Kooli keskmine oli 4,39 (2017 - 4,19).</w:t>
      </w:r>
      <w:r w:rsidR="00791782">
        <w:rPr>
          <w:sz w:val="24"/>
          <w:szCs w:val="24"/>
        </w:rPr>
        <w:t xml:space="preserve"> Enamus gruppidest oli vastuste keskmine üle 4,10. Oluliselt madalaim oli see </w:t>
      </w:r>
      <w:r w:rsidR="00791782" w:rsidRPr="005B4BCA">
        <w:rPr>
          <w:sz w:val="24"/>
          <w:szCs w:val="24"/>
        </w:rPr>
        <w:t>Sotsiaaltöö, toitlustus, koduteenindus</w:t>
      </w:r>
      <w:r w:rsidR="00791782">
        <w:rPr>
          <w:sz w:val="24"/>
          <w:szCs w:val="24"/>
        </w:rPr>
        <w:t>el (3,58).</w:t>
      </w:r>
    </w:p>
    <w:p w:rsidR="00791782" w:rsidRDefault="00FB21DB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Eestvedamine, </w:t>
      </w:r>
      <w:r w:rsidR="0004061C" w:rsidRPr="0004061C">
        <w:rPr>
          <w:sz w:val="24"/>
          <w:szCs w:val="24"/>
          <w:u w:val="single"/>
        </w:rPr>
        <w:t>kaasamine</w:t>
      </w:r>
      <w:r w:rsidR="0004061C">
        <w:rPr>
          <w:sz w:val="24"/>
          <w:szCs w:val="24"/>
        </w:rPr>
        <w:t xml:space="preserve">: 4,10 (2017 - 4,07). </w:t>
      </w:r>
      <w:r w:rsidR="005B41F7">
        <w:rPr>
          <w:sz w:val="24"/>
          <w:szCs w:val="24"/>
        </w:rPr>
        <w:t>Kooli sihtväärtus on 4,00. Gruppide keskmine on selles teemas suhteliselt ühtlane. Madalaim oli näitaja Tugitalitusel (3,90).</w:t>
      </w:r>
    </w:p>
    <w:p w:rsidR="005B41F7" w:rsidRDefault="005B41F7">
      <w:pPr>
        <w:rPr>
          <w:sz w:val="24"/>
          <w:szCs w:val="24"/>
        </w:rPr>
      </w:pPr>
      <w:r w:rsidRPr="005B41F7">
        <w:rPr>
          <w:sz w:val="24"/>
          <w:szCs w:val="24"/>
          <w:u w:val="single"/>
        </w:rPr>
        <w:t>Kooli areng ja muutused</w:t>
      </w:r>
      <w:r>
        <w:rPr>
          <w:sz w:val="24"/>
          <w:szCs w:val="24"/>
        </w:rPr>
        <w:t xml:space="preserve">: 4,13 (2017 - 4,09). </w:t>
      </w:r>
      <w:r w:rsidR="005B69F2">
        <w:rPr>
          <w:sz w:val="24"/>
          <w:szCs w:val="24"/>
        </w:rPr>
        <w:t xml:space="preserve">Keskmisest oluliselt madalam oli see näitaja </w:t>
      </w:r>
      <w:r w:rsidR="005B69F2" w:rsidRPr="005B4BCA">
        <w:rPr>
          <w:sz w:val="24"/>
          <w:szCs w:val="24"/>
        </w:rPr>
        <w:t>Logistika, Kaubandus</w:t>
      </w:r>
      <w:r w:rsidR="005B69F2">
        <w:rPr>
          <w:sz w:val="24"/>
          <w:szCs w:val="24"/>
        </w:rPr>
        <w:t xml:space="preserve">el (3,30). Oluliselt on näitaja paranenud </w:t>
      </w:r>
      <w:r w:rsidR="005B69F2" w:rsidRPr="005B4BCA">
        <w:rPr>
          <w:sz w:val="24"/>
          <w:szCs w:val="24"/>
        </w:rPr>
        <w:t>Põllumajandus, Veterinaaria, Kalandus</w:t>
      </w:r>
      <w:r w:rsidR="005B69F2">
        <w:rPr>
          <w:sz w:val="24"/>
          <w:szCs w:val="24"/>
        </w:rPr>
        <w:t xml:space="preserve"> (4,50, 2017 - 4,15). </w:t>
      </w:r>
    </w:p>
    <w:p w:rsidR="00956CD8" w:rsidRDefault="00956CD8">
      <w:pPr>
        <w:rPr>
          <w:sz w:val="24"/>
          <w:szCs w:val="24"/>
        </w:rPr>
      </w:pPr>
      <w:r w:rsidRPr="00A05ECD">
        <w:rPr>
          <w:sz w:val="24"/>
          <w:szCs w:val="24"/>
          <w:u w:val="single"/>
        </w:rPr>
        <w:t>Töötaja arenguvõimalused</w:t>
      </w:r>
      <w:r>
        <w:rPr>
          <w:sz w:val="24"/>
          <w:szCs w:val="24"/>
        </w:rPr>
        <w:t xml:space="preserve">: 4,21 (2017 – 4,19), sihtväärtus 4,00. </w:t>
      </w:r>
      <w:r w:rsidR="00ED77C1">
        <w:rPr>
          <w:sz w:val="24"/>
          <w:szCs w:val="24"/>
        </w:rPr>
        <w:t>Antud teema</w:t>
      </w:r>
      <w:r>
        <w:rPr>
          <w:sz w:val="24"/>
          <w:szCs w:val="24"/>
        </w:rPr>
        <w:t>gruppi jääb ka arengukava tulemusnäitaja</w:t>
      </w:r>
      <w:r>
        <w:rPr>
          <w:sz w:val="24"/>
          <w:szCs w:val="24"/>
        </w:rPr>
        <w:t xml:space="preserve"> „Rahulolu koolitustel osalemisega“ 4,39 (2017 - 4,22), mille sihtväärtus on seatud 4,10.</w:t>
      </w:r>
      <w:r w:rsidR="00ED77C1">
        <w:rPr>
          <w:sz w:val="24"/>
          <w:szCs w:val="24"/>
        </w:rPr>
        <w:t xml:space="preserve"> Teemagrupi sihtväärtusest on madalam näitaja </w:t>
      </w:r>
      <w:r w:rsidR="00FB21DB">
        <w:rPr>
          <w:sz w:val="24"/>
          <w:szCs w:val="24"/>
        </w:rPr>
        <w:t>Logistika/</w:t>
      </w:r>
      <w:r w:rsidR="00ED77C1" w:rsidRPr="005B4BCA">
        <w:rPr>
          <w:sz w:val="24"/>
          <w:szCs w:val="24"/>
        </w:rPr>
        <w:t xml:space="preserve"> Kaubandus</w:t>
      </w:r>
      <w:r w:rsidR="00ED77C1">
        <w:rPr>
          <w:sz w:val="24"/>
          <w:szCs w:val="24"/>
        </w:rPr>
        <w:t>el</w:t>
      </w:r>
      <w:r w:rsidR="00ED77C1">
        <w:rPr>
          <w:sz w:val="24"/>
          <w:szCs w:val="24"/>
        </w:rPr>
        <w:t xml:space="preserve"> (3,75) ja </w:t>
      </w:r>
      <w:r w:rsidR="00ED77C1" w:rsidRPr="005B4BCA">
        <w:rPr>
          <w:sz w:val="24"/>
          <w:szCs w:val="24"/>
        </w:rPr>
        <w:t>Haldustalitus</w:t>
      </w:r>
      <w:r w:rsidR="00ED77C1">
        <w:rPr>
          <w:sz w:val="24"/>
          <w:szCs w:val="24"/>
        </w:rPr>
        <w:t>el (3,98).</w:t>
      </w:r>
      <w:r w:rsidR="00EE464C">
        <w:rPr>
          <w:sz w:val="24"/>
          <w:szCs w:val="24"/>
        </w:rPr>
        <w:t xml:space="preserve"> Haldustalituse inimestel on keskmist rahulolu </w:t>
      </w:r>
      <w:r w:rsidR="00EE464C">
        <w:rPr>
          <w:sz w:val="24"/>
          <w:szCs w:val="24"/>
        </w:rPr>
        <w:lastRenderedPageBreak/>
        <w:t>allapoole toonud vähene võimalus vahetada kogemusi kolleegidega teistest koolidest; Logistika ja Kaubanduse keskmist hinne</w:t>
      </w:r>
      <w:r w:rsidR="00AB2C9C">
        <w:rPr>
          <w:sz w:val="24"/>
          <w:szCs w:val="24"/>
        </w:rPr>
        <w:t>t on kõige rohkem mõjutanud</w:t>
      </w:r>
      <w:r w:rsidR="00EE464C">
        <w:rPr>
          <w:sz w:val="24"/>
          <w:szCs w:val="24"/>
        </w:rPr>
        <w:t xml:space="preserve"> vähene võimalus arutada </w:t>
      </w:r>
      <w:r w:rsidR="00EE464C" w:rsidRPr="00EE464C">
        <w:rPr>
          <w:sz w:val="24"/>
          <w:szCs w:val="24"/>
        </w:rPr>
        <w:t>juhtkonna või otsese ülemusega oma soovidest ja arenguvõimalustest</w:t>
      </w:r>
      <w:r w:rsidR="00EE464C">
        <w:rPr>
          <w:sz w:val="24"/>
          <w:szCs w:val="24"/>
        </w:rPr>
        <w:t xml:space="preserve"> ning täienduskoolituse mittepiisavus.</w:t>
      </w:r>
    </w:p>
    <w:p w:rsidR="00DC5951" w:rsidRDefault="00DC5951">
      <w:pPr>
        <w:rPr>
          <w:sz w:val="24"/>
          <w:szCs w:val="24"/>
        </w:rPr>
      </w:pPr>
      <w:r w:rsidRPr="002911EC">
        <w:rPr>
          <w:sz w:val="24"/>
          <w:szCs w:val="24"/>
          <w:u w:val="single"/>
        </w:rPr>
        <w:t>Tunnustamine</w:t>
      </w:r>
      <w:r>
        <w:rPr>
          <w:sz w:val="24"/>
          <w:szCs w:val="24"/>
        </w:rPr>
        <w:t xml:space="preserve">: 4,28 (2017 - 4,18). </w:t>
      </w:r>
      <w:r w:rsidR="005D010B">
        <w:rPr>
          <w:sz w:val="24"/>
          <w:szCs w:val="24"/>
        </w:rPr>
        <w:t>Rahulolu tunnustamisega on aasta-aastalt kasvanud ja saavutanud suhteliselt kõrge taseme.</w:t>
      </w:r>
      <w:r w:rsidR="00FB21DB">
        <w:rPr>
          <w:sz w:val="24"/>
          <w:szCs w:val="24"/>
        </w:rPr>
        <w:t xml:space="preserve"> Näitaja on paranenud pea kõigis gruppides. </w:t>
      </w:r>
    </w:p>
    <w:p w:rsidR="00956CD8" w:rsidRDefault="00FB21DB">
      <w:pPr>
        <w:rPr>
          <w:sz w:val="24"/>
          <w:szCs w:val="24"/>
        </w:rPr>
      </w:pPr>
      <w:r w:rsidRPr="00DA76BD">
        <w:rPr>
          <w:sz w:val="24"/>
          <w:szCs w:val="24"/>
          <w:u w:val="single"/>
        </w:rPr>
        <w:t>Maine, soovitamine</w:t>
      </w:r>
      <w:r>
        <w:rPr>
          <w:sz w:val="24"/>
          <w:szCs w:val="24"/>
        </w:rPr>
        <w:t>: 4,47 (2017 - 4,41).</w:t>
      </w:r>
      <w:r w:rsidR="00DA76BD">
        <w:rPr>
          <w:sz w:val="24"/>
          <w:szCs w:val="24"/>
        </w:rPr>
        <w:t xml:space="preserve"> Tegemist on kooli kõrgeima keskmise näitajaga. See tähendab, et kooli töötajad on rahul oma töökohaga ja soovitavad tuttavatel tulla kooli õppima</w:t>
      </w:r>
      <w:r w:rsidR="00512119">
        <w:rPr>
          <w:sz w:val="24"/>
          <w:szCs w:val="24"/>
        </w:rPr>
        <w:t>. K</w:t>
      </w:r>
      <w:r w:rsidR="00DA76BD">
        <w:rPr>
          <w:sz w:val="24"/>
          <w:szCs w:val="24"/>
        </w:rPr>
        <w:t xml:space="preserve">a täienduskoolituskursustele. </w:t>
      </w:r>
      <w:r w:rsidR="00512119">
        <w:rPr>
          <w:sz w:val="24"/>
          <w:szCs w:val="24"/>
        </w:rPr>
        <w:t>Nii nagu üldiselt kutsehariduse valdkonnas, siis soovitakse, et kooli maine oleks ühiskonnas parem.</w:t>
      </w:r>
    </w:p>
    <w:p w:rsidR="00D3612A" w:rsidRDefault="00D3612A">
      <w:pPr>
        <w:rPr>
          <w:sz w:val="24"/>
          <w:szCs w:val="24"/>
        </w:rPr>
      </w:pPr>
    </w:p>
    <w:p w:rsidR="002911EC" w:rsidRDefault="00512119" w:rsidP="002911EC">
      <w:pPr>
        <w:rPr>
          <w:sz w:val="24"/>
          <w:szCs w:val="24"/>
        </w:rPr>
      </w:pPr>
      <w:r>
        <w:rPr>
          <w:sz w:val="24"/>
          <w:szCs w:val="24"/>
        </w:rPr>
        <w:t>Rahulolu-uuringus on eraldi küsimuste blokk, mis puudutab</w:t>
      </w:r>
      <w:r w:rsidR="002911EC">
        <w:rPr>
          <w:sz w:val="24"/>
          <w:szCs w:val="24"/>
        </w:rPr>
        <w:t xml:space="preserve"> õpi</w:t>
      </w:r>
      <w:r>
        <w:rPr>
          <w:sz w:val="24"/>
          <w:szCs w:val="24"/>
        </w:rPr>
        <w:t>laste oskusi/omadusi. Nende küsimuste osas,</w:t>
      </w:r>
      <w:r w:rsidR="002911EC">
        <w:rPr>
          <w:sz w:val="24"/>
          <w:szCs w:val="24"/>
        </w:rPr>
        <w:t xml:space="preserve"> võrreldes eelmise aastaga</w:t>
      </w:r>
      <w:r>
        <w:rPr>
          <w:sz w:val="24"/>
          <w:szCs w:val="24"/>
        </w:rPr>
        <w:t>, on õpetajate arvamus</w:t>
      </w:r>
      <w:r w:rsidR="002911EC">
        <w:rPr>
          <w:sz w:val="24"/>
          <w:szCs w:val="24"/>
        </w:rPr>
        <w:t xml:space="preserve"> </w:t>
      </w:r>
      <w:r>
        <w:rPr>
          <w:sz w:val="24"/>
          <w:szCs w:val="24"/>
        </w:rPr>
        <w:t>keskmiselt</w:t>
      </w:r>
      <w:r w:rsidR="002911EC">
        <w:rPr>
          <w:sz w:val="24"/>
          <w:szCs w:val="24"/>
        </w:rPr>
        <w:t xml:space="preserve"> veidi langenud.</w:t>
      </w:r>
      <w:r w:rsidR="00146229">
        <w:rPr>
          <w:sz w:val="24"/>
          <w:szCs w:val="24"/>
        </w:rPr>
        <w:t xml:space="preserve"> Kõige rohkem on langenud hinnang õpilaste positiivsele suhtumisele (3,75, 2017 - 3,94)  ja suhtlemisoskusele (3,35, 2017 - 3,51)</w:t>
      </w:r>
      <w:r w:rsidR="00581AD6">
        <w:rPr>
          <w:sz w:val="24"/>
          <w:szCs w:val="24"/>
        </w:rPr>
        <w:t xml:space="preserve">. Jätkuvalt on kõige madalam hinnang õpilaste kohusetundlikkusele (3,05, 2017 - 3,11). </w:t>
      </w:r>
      <w:r w:rsidR="00C14BE3">
        <w:rPr>
          <w:sz w:val="24"/>
          <w:szCs w:val="24"/>
        </w:rPr>
        <w:t xml:space="preserve">Kõige enam on kasvanud </w:t>
      </w:r>
      <w:r w:rsidR="00C066D7">
        <w:rPr>
          <w:sz w:val="24"/>
          <w:szCs w:val="24"/>
        </w:rPr>
        <w:t>hinnang õpilaste loovusele (</w:t>
      </w:r>
      <w:r w:rsidR="00C14BE3">
        <w:rPr>
          <w:sz w:val="24"/>
          <w:szCs w:val="24"/>
        </w:rPr>
        <w:t xml:space="preserve">3,60, 2017 - 3,48). </w:t>
      </w:r>
      <w:r w:rsidR="00463892">
        <w:rPr>
          <w:sz w:val="24"/>
          <w:szCs w:val="24"/>
        </w:rPr>
        <w:t>Kõige kõrgem on hinnang õpilaste abivalmidusele (3,84, 2017 - 3,94).</w:t>
      </w:r>
      <w:bookmarkStart w:id="0" w:name="_GoBack"/>
      <w:bookmarkEnd w:id="0"/>
    </w:p>
    <w:p w:rsidR="00D3612A" w:rsidRPr="008243DF" w:rsidRDefault="00D3612A">
      <w:pPr>
        <w:rPr>
          <w:sz w:val="24"/>
          <w:szCs w:val="24"/>
        </w:rPr>
      </w:pPr>
    </w:p>
    <w:sectPr w:rsidR="00D3612A" w:rsidRPr="008243DF" w:rsidSect="008243DF">
      <w:pgSz w:w="11906" w:h="16838" w:code="9"/>
      <w:pgMar w:top="1440" w:right="92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F"/>
    <w:rsid w:val="0004061C"/>
    <w:rsid w:val="000F2E87"/>
    <w:rsid w:val="00101EB9"/>
    <w:rsid w:val="00146229"/>
    <w:rsid w:val="00283078"/>
    <w:rsid w:val="002911EC"/>
    <w:rsid w:val="003711CE"/>
    <w:rsid w:val="00463892"/>
    <w:rsid w:val="004B4D57"/>
    <w:rsid w:val="00512119"/>
    <w:rsid w:val="00521172"/>
    <w:rsid w:val="00581AD6"/>
    <w:rsid w:val="005B41F7"/>
    <w:rsid w:val="005B4BCA"/>
    <w:rsid w:val="005B69F2"/>
    <w:rsid w:val="005D010B"/>
    <w:rsid w:val="00791782"/>
    <w:rsid w:val="008243DF"/>
    <w:rsid w:val="00956CD8"/>
    <w:rsid w:val="00A05ECD"/>
    <w:rsid w:val="00AB2C9C"/>
    <w:rsid w:val="00AF7922"/>
    <w:rsid w:val="00B54496"/>
    <w:rsid w:val="00C066D7"/>
    <w:rsid w:val="00C14BE3"/>
    <w:rsid w:val="00CB318E"/>
    <w:rsid w:val="00CC6F3E"/>
    <w:rsid w:val="00D3612A"/>
    <w:rsid w:val="00DA76BD"/>
    <w:rsid w:val="00DC5951"/>
    <w:rsid w:val="00E51852"/>
    <w:rsid w:val="00ED77C1"/>
    <w:rsid w:val="00EE464C"/>
    <w:rsid w:val="00FB21DB"/>
    <w:rsid w:val="00F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7B7FD-263C-450C-ACD6-DB1D8DBC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B4B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2018-06-20T07:37:00Z</dcterms:created>
  <dcterms:modified xsi:type="dcterms:W3CDTF">2018-06-20T09:05:00Z</dcterms:modified>
</cp:coreProperties>
</file>